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40 vom 2. Februar 2022</w:t>
      </w:r>
    </w:p>
    <w:p>
      <w:r>
        <w:t>VS Kantonsgericht, 2022-02-02, DE</w:t>
      </w:r>
    </w:p>
    <w:p>
      <w:r>
        <w:rPr>
          <w:b/>
        </w:rPr>
        <w:t xml:space="preserve">Quelle: </w:t>
      </w:r>
      <w:r>
        <w:t>https://mcp.opencaselaw.ch/entscheid/vs_gerichte_S2 21 40</w:t>
      </w:r>
    </w:p>
    <w:p>
      <w:r>
        <w:t>FR: VS_GERICHTE S2 21 40 du 2 février 2022</w:t>
      </w:r>
    </w:p>
    <w:p>
      <w:r>
        <w:t>IT: VS_GERICHTE S2 21 40 del 2 febbraio 2022</w:t>
      </w:r>
    </w:p>
    <w:p>
      <w:pPr>
        <w:pStyle w:val="Heading2"/>
      </w:pPr>
      <w:r>
        <w:t>Regeste</w:t>
      </w:r>
    </w:p>
    <w:p>
      <w:r>
        <w:t>S2 21 40 URTEIL VOM 2. FEBRUAR 2022 Kantonsgericht Wallis Sozialversicherungsrechtliche Abteilung Besetzung: Dr. Thierry Schnyder, Präsident; Candido Prada und Thomas Brunner, Kantonsrichter; Renata Kreuzer, Gerichtsschreiberin in Sachen X _________, Kläger, vertreten durch Rechtsanwältin Susanne Friedauer, 8032 Zürich gegen PRESV - PRÉVOYANCE SANTÉ VALAIS, 3960 Siders, Beklagte, vertreten durch Rechtsanwältin Carole Melly-Basili, 3960 Siders (Berechnung der Altersrente)</w:t>
      </w:r>
    </w:p>
    <w:p>
      <w:pPr>
        <w:pStyle w:val="Heading2"/>
      </w:pPr>
      <w:r>
        <w:t>Erwägungen</w:t>
      </w:r>
    </w:p>
    <w:p>
      <w:r>
        <w:rPr>
          <w:b/>
        </w:rPr>
        <w:t>E. 1.1</w:t>
      </w:r>
    </w:p>
    <w:p>
      <w:r>
        <w:t>Das Kantonsgericht hat die Prozessvoraussetzungen wie die Partei- und Prozess- fähigkeit, die Zulässigkeit des Rechtsweges, die Zuständigkeit der angerufenen Instanz, das Rechtsschutzinteresse sowie die formrichtige und rechtzeitige Rechtsvorkehr von Amtes wegen zu prüfen (BGE 126 V 30, 125 V 184 E. 1 mit weiteren Hinweisen).</w:t>
      </w:r>
    </w:p>
    <w:p>
      <w:r>
        <w:rPr>
          <w:b/>
        </w:rPr>
        <w:t>E. 1.2</w:t>
      </w:r>
    </w:p>
    <w:p>
      <w:r>
        <w:t>Gestützt auf Art. 73 des Bundesgesetzes über die berufliche Alters-, Hinterlassenen- und Invalidenvorsorge vom 25. Juni 1982 (BVG) ist die Sozialversicherungsrechtliche Abteilung des Kantonsgericht Wallis die einzige zuständige kantonale Behörde, um über Streitigkeiten zwischen Vorsorgeeinrichtungen, Arbeitgebern und Anspruchsberechtig- ten (Art. 73 Abs. 1 und 3 BVG; BGE 115 V 375 ff. und 119 V 13 E. 2) zu entscheiden. Die Beklagte hat ihren Sitz im Wallis, die sachliche und örtliche Zuständigkeit des Kan- tonsgerichts Wallis ist somit gegeben.</w:t>
      </w:r>
    </w:p>
    <w:p>
      <w:r>
        <w:rPr>
          <w:b/>
        </w:rPr>
        <w:t>E. 1.3</w:t>
      </w:r>
    </w:p>
    <w:p>
      <w:r>
        <w:t>Das BVG selbst räumt den Vorsorgeeinrichtungen nicht die Befugnis ein, Verfügun- gen zu erlassen (BGE 119 V 13 E. 2a). Auch den Arbeitgebern verleiht das BVG keine Verfügungskompetenz gegenüber ihren Arbeitnehmern. Das Verfahren nach Art. 73 Abs. 1 BVG ist daher nach konstanter Rechtsprechung nicht ein Beschwerdeverfahren, welches eine Verwaltungsverfügung als Anfechtungsgegenstand voraussetzen würde,</w:t>
      </w:r>
    </w:p>
    <w:p>
      <w:r>
        <w:t>- 4 - sondern ein Klageverfahren, dem eine „Streitigkeit“ zwischen Vorsorgeeinrichtung, Ar- beitgebern und Anspruchsberechtigten zugrunde liegt. Auf die Klage kann somit eingetreten werden.</w:t>
      </w:r>
    </w:p>
    <w:p>
      <w:r>
        <w:rPr>
          <w:b/>
        </w:rPr>
        <w:t>E. 2.1</w:t>
      </w:r>
    </w:p>
    <w:p>
      <w:r>
        <w:t>Im Bereich von Art. 73 BVG bestimmt sich die Streitigkeit nach den Klagebegehren des Klägers (Dispositionsmaxime). Innerhalb des Streitgegenstandes ist das Berufsvor- sorgegericht in Durchbrechung der Dispositionsmaxime an die Begehren der Parteien indes nicht gebunden. Der Untersuchungsgrundsatz kann aber nicht dazu dienen, den Streitgegenstand auf nicht eingeklagte Punkte auszudehnen (BGE 135 V 23 E. 3.1; 129 V 450 E. 3.2).</w:t>
      </w:r>
    </w:p>
    <w:p>
      <w:r>
        <w:rPr>
          <w:b/>
        </w:rPr>
        <w:t>E. 2.2</w:t>
      </w:r>
    </w:p>
    <w:p>
      <w:r>
        <w:t>Streitig ist die Berechnung der Altersrente.</w:t>
      </w:r>
    </w:p>
    <w:p>
      <w:r>
        <w:rPr>
          <w:b/>
        </w:rPr>
        <w:t>E. 3.1</w:t>
      </w:r>
    </w:p>
    <w:p>
      <w:r>
        <w:t>Gemäss Art. 65d Abs. 3 lit. b BVG kann die Vorsorgeeinrichtung während der Dauer einer Unterdeckung (BGE 143 V 440 E. 3.3.1) von Rentnerinnen und Rentnern einen Beitrag zur Behebung derselben erheben. Die Erhebung dieses Beitrags erfolgt durch die Verrechnung mit den laufenden Renten. Der Betraf darf nur auf dem Teil der laufen- den Rente erhoben werden, der in den letzten zehn Jahren vor der Einführung dieser Massnahme durch gesetzlich oder reglementarisch nicht vorgeschriebene Erhöhungen entstanden ist. Er darf nicht auf Versicherungsleistungen bei Alter, Tod und Invalidität oder obligatorischen Vorsorge erhoben werden. Auf Versicherungsleistungen, welche über die Leistungen der obligatorischen Vorsorge hinausgehen, darf er nur dann erho- ben werden, wenn eine entsprechende reglementarische Grundlage vorhanden ist. Die Höhe der Renten bei Entstehung des Rentenanspruchs bleibt jedenfalls gewährleistet. Eine derartige Kürzung laufender Renten ist nur während der Dauer der Unterdeckung möglich.</w:t>
      </w:r>
    </w:p>
    <w:p>
      <w:r>
        <w:rPr>
          <w:b/>
        </w:rPr>
        <w:t>E. 3.2</w:t>
      </w:r>
    </w:p>
    <w:p>
      <w:r>
        <w:t>festgelegt ist. Gemäss Art. 4.3.4. des Reglements wird für diejenigen Altersrenten, welche ab dem 1.1.2015 fällig werden und sofern der Deckungsgrad gemäss BVV2 per 31. Dezember des vorherigen Kalenderjahres 100% oder mehr beträgt, eine 13. Alters- rente ausbezahlt, die einem Zwölftel der garantierten jährlichen Altersrente entspricht. Bei einem Deckungsgrad zwischen 95% und 100% entscheidet der Stiftungsrat zum ge- gebenen Zeitpunkt darüber, ob die 13. Altersrente wegfällt oder teilweise reduziert wird. Gemäss dem Reglement der Beklagten kann im Falle einer Unterdeckung vom Arbeit- geber und von den aktiven Versicherten ein zeitlich begrenzter Sanierungsbeitrag erho- ben werden (Art. 5.5.). Sofern andere Massnahmen nicht zum Ziel führen, kann auch von den Rentenbezügern ein Beitrag zur Behebung der Unterdeckung erhoben werden. Die Erhebung dieses Beitrags erfolgt durch Verrechnung mit den laufenden Renten. Der Beitrag darf nur auf dem Teil der laufenden Renten erhoben werden, der in den letzten zehn Jahren vor der Einführung dieser Massnahme durch gesetzlich oder reglementa- risch nicht vorgeschriebene Erhöhung entstanden ist. Er darf nicht auf Versicherungs- leistungen bei Alter, Tod und Invalidität der obligatorischen Vorsorge erhoben werden. Die Höhe der Rente bei Entstehung des Rentenanspruchs bleibt jedenfalls gewährleistet (Art. 5.5. lit. b.; vgl. E. 3.1). Aus Anhang III Ziff. 3.2 ergeben sich die Umwandlungssätze und zwar aufgeteilt in den garantierten Umwandlungssatz und jenen für die 13. bedingte Rente, der einem Zwölftel des garantierten Umwandlungssatzes entspricht. In casu ist der zur Anwendung gelangende Umwandlungssatz unbestritten und ebenso die Höhe der jährlichen Rente, zu der er führt.</w:t>
      </w:r>
    </w:p>
    <w:p>
      <w:r>
        <w:rPr>
          <w:b/>
        </w:rPr>
        <w:t>E. 3.3</w:t>
      </w:r>
    </w:p>
    <w:p>
      <w:r>
        <w:t>Im Bereich der beruflichen Vorsorge werden in der Praxis verschiedene Modelle bezüglich der Behandlung der obligatorischen und überobligatorischen Vorsorgeleistun- gen unterschieden. Bei der Beklagten handelt es sich um das sogenannte umhüllende Modell. Das heisst, die reglementarischen Leistungen für die obligatorische und überob- ligatorische Vorsorge werden gesamthaft festgelegt. Es werden einheitliche Parameter für den Umwandlungssatz und den technischen Zinssatz gewählt. Die obligatorischen Leistungen werden in diesem Fall in der Gesamtleistung lediglich über die sogenannte Schattenrechnung als Kontrollgrösse in Bezug auf die Einhaltung der bundesrechtlichen Vorgaben abgebildet (BGE 140 V 169 E. 6.1). Damit wird sichergestellt, dass für die Versicherten die gesetzliche Mindestrente auf jeden Fall eingehalten wird.</w:t>
      </w:r>
    </w:p>
    <w:p>
      <w:r>
        <w:rPr>
          <w:b/>
        </w:rPr>
        <w:t>E. 3.4</w:t>
      </w:r>
    </w:p>
    <w:p>
      <w:r>
        <w:t>In der weitergehenden (überobligatorischen) Vorsorge wird das Rechtsverhältnis zwischen der Vorsorgeeinrichtung und dem Vorsorgenehmer durch einen privatrechtli- chen Vorsorgevertrag begründet, der rechtsdogmatisch den Innominatverträgen zuzu- ordnen ist (BGE 130 V 103 E. 3.3). Als solcher untersteht er in erster Linie den allgemei- nen Bestimmungen des Obligationenrechts. Das Reglement stellt den vorformulierten Inhalt des Vorsorgevertrages bzw. dessen Allgemeine Versicherungsbedingungen dar, denen sich der Versicherte ausdrücklich oder durch konkludentes Verhalten unterzieht (BGE 132 V 149 E.5).</w:t>
      </w:r>
    </w:p>
    <w:p>
      <w:r>
        <w:rPr>
          <w:b/>
        </w:rPr>
        <w:t>E. 4.1</w:t>
      </w:r>
    </w:p>
    <w:p>
      <w:r>
        <w:t>Vorliegend sind sich die Parteien nicht einig, ob die jährliche Rente in der unbestrit- tenen Höhe von CHF 38'359.10 in 12 Monatsrenten oder in deren 13 ausbezahlt werden soll.</w:t>
      </w:r>
    </w:p>
    <w:p>
      <w:r>
        <w:rPr>
          <w:b/>
        </w:rPr>
        <w:t>E. 4.2</w:t>
      </w:r>
    </w:p>
    <w:p>
      <w:r>
        <w:t>Bei der PRESV handelt es sich um eine umhüllende Kasse. Sie richtet also nicht BVG-Minimalleistungen und zusätzliche überobligatorische Leistungen aus, sondern die reglementarischen Leistungen werden gesamthaft festgelegt. Im überobligatorischen Bereich steht es ihr frei, reglementarisch von den Bestimmungen des BVG abzuweichen soweit die minimalen Anforderungen eingehalten werden. In Bezug auf die anwendbaren reglementarischen Bestimmungen verwies die Beklagte auf das Vorsorgereglement der</w:t>
      </w:r>
    </w:p>
    <w:p>
      <w:r>
        <w:t>- 6 - PREVS (Reglement), Ausgabe 2020, was angesichts der Pensionierung des Klägers auf den 31. Dezember 2020 nicht zu beanstanden ist. Gemäss Art. 4.3.4. des Reglements bestimmt sich die Höhe der jährlichen Altersrente aufgrund der vorhandenen Spargut- haben, multipliziert mit dem Umwandlungssatz, der beim Rücktrittsalter in Anhang III Ziff.</w:t>
      </w:r>
    </w:p>
    <w:p>
      <w:r>
        <w:rPr>
          <w:b/>
        </w:rPr>
        <w:t>E. 4.3</w:t>
      </w:r>
    </w:p>
    <w:p>
      <w:r>
        <w:t>Der Kläger stellt sich auf den Standpunkt, dass ihm gemäss Reglement eine Jah- resrente von CHF 38'359.10 plus – bei einem Deckungsgrad von mehr als 100% – eine 13. Rente in der Höhe von CHF 3'196.60 auszubezahlen sei, was insgesamt eine jährli- che Rente von CHF 41'555.70 ergäbe. Dieser Betrachtungsweise kann nicht gefolgt wer- den, denn sie würde zu einer Abweichung vom Grundsatz des Kapitaldeckungsverfah- rens führen, wonach eine Vorsorgeeinrichtung nicht höhere Leistungen erbringen kann, als jene, die mit dem vorhandenen Kapital finanzierbar sind. Wie die Versicherten bei günstigen Finanzmarktverhältnissen von höheren als den geplanten Kapitalrenditen pro- fitieren können, so müssen sie sich umgekehrt dem systemimmanenten Risiko ausge- setzt sehen, dass die Kapitalrendite kleiner ist als geplant. Es widerspräche dem Kapi-</w:t>
      </w:r>
    </w:p>
    <w:p>
      <w:r>
        <w:t>- 7 - taldeckungsprinzip, die Versicherten nur an den Gewinnchancen, nicht aber an den Ver- lustrisiken teilhaben zu lassen (BGE 140 V 169 E. 8.4; vgl. E. 3.2). Von der jährlichen Rente des Klägers in der Höhe von CHF 38'359.10 kann nach dem Wortlaut von Art. 65d Abs. 3 lit. b BVG nur während der Dauer einer Unterdeckung abgewichen werden und nur, wenn dafür eine entsprechende reglementarische Grundlage besteht, was in casu wie oben (E. 4.2) aufgezeigt, zu bejahen ist. Der Umwandlungssatz für die bedingte 13. Rente beträgt ein Zwölftel des garantierten Umwandlungssatzes. Dem Kläger kann auch nicht gefolgt werden, insofern er Unklarheiten oder ungewöhnli- che Regelungen im Reglement der Beklagten ausmachen will. Für das erkennende Ge- richt geht der objektive Vertragswille klar aus den reglementarischen Bestimmungen her- vor. Diese sind weder unklar, noch ungewöhnlich oder mehrdeutig.</w:t>
      </w:r>
    </w:p>
    <w:p>
      <w:r>
        <w:rPr>
          <w:b/>
        </w:rPr>
        <w:t>E. 4.4</w:t>
      </w:r>
    </w:p>
    <w:p>
      <w:r>
        <w:t>Aufgrund des Dargelegten ist die Klage in allen Punkten abzuweisen.</w:t>
      </w:r>
    </w:p>
    <w:p>
      <w:r>
        <w:rPr>
          <w:b/>
        </w:rPr>
        <w:t>E. 5</w:t>
      </w:r>
    </w:p>
    <w:p>
      <w:r>
        <w:t>Im Bereich der beruflichen Vorsorge gemäss BVG findet der sozialversicherungsrechtli- che Grundsatz Anwendung, wonach das Gerichtsverfahren kostenlos ist (Art. 73 Abs. 2 BVG) und der Sozialversicherungsträger trotz Obsiegens keinen Anspruch auf eine Par- teientschädigung hat (BGE 128 V 133 E. 5b, 126 V 150 E. 4a, 118 V 169 E. 7 und 117 V 349 E. 8, mit Hinweisen; vgl. auch BGE 122 V 125 E. 5b und 320 E. 1a und b sowie 112 V 356 E. 6).</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